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8" w:type="dxa"/>
        <w:tblLook w:val="04A0" w:firstRow="1" w:lastRow="0" w:firstColumn="1" w:lastColumn="0" w:noHBand="0" w:noVBand="1"/>
      </w:tblPr>
      <w:tblGrid>
        <w:gridCol w:w="3645"/>
        <w:gridCol w:w="3646"/>
        <w:gridCol w:w="3647"/>
      </w:tblGrid>
      <w:tr w:rsidR="00C64A9B" w:rsidTr="00C64A9B">
        <w:trPr>
          <w:trHeight w:val="541"/>
        </w:trPr>
        <w:tc>
          <w:tcPr>
            <w:tcW w:w="10938" w:type="dxa"/>
            <w:gridSpan w:val="3"/>
          </w:tcPr>
          <w:p w:rsidR="00C64A9B" w:rsidRDefault="00C64A9B" w:rsidP="00C64A9B">
            <w:r w:rsidRPr="00C64A9B">
              <w:rPr>
                <w:b/>
              </w:rPr>
              <w:t>Essential Questions:</w:t>
            </w:r>
            <w:r>
              <w:t xml:space="preserve"> How can artistic expression advance social commentary? How does a collective feat affect the group or individuals? Is personal integrity more important than survival?  </w:t>
            </w:r>
          </w:p>
        </w:tc>
      </w:tr>
      <w:tr w:rsidR="00C64A9B" w:rsidTr="00C64A9B">
        <w:trPr>
          <w:trHeight w:val="4164"/>
        </w:trPr>
        <w:tc>
          <w:tcPr>
            <w:tcW w:w="3645" w:type="dxa"/>
          </w:tcPr>
          <w:p w:rsidR="00C64A9B" w:rsidRDefault="00C64A9B" w:rsidP="00C64A9B">
            <w:r w:rsidRPr="00C64A9B">
              <w:rPr>
                <w:b/>
              </w:rPr>
              <w:t>Readings</w:t>
            </w:r>
            <w:r>
              <w:t xml:space="preserve">: </w:t>
            </w:r>
          </w:p>
          <w:p w:rsidR="00C64A9B" w:rsidRDefault="00C64A9B" w:rsidP="00C64A9B">
            <w:r>
              <w:t xml:space="preserve">“Young Goodman Brown” by Nathaniel Hawthorne </w:t>
            </w:r>
          </w:p>
          <w:p w:rsidR="00C64A9B" w:rsidRDefault="00C64A9B" w:rsidP="00C64A9B">
            <w:r>
              <w:t xml:space="preserve">“Half-Hanged Mary” by Margaret Atwood </w:t>
            </w:r>
          </w:p>
          <w:p w:rsidR="00C64A9B" w:rsidRDefault="00C64A9B" w:rsidP="00C64A9B">
            <w:r>
              <w:rPr>
                <w:i/>
              </w:rPr>
              <w:t>Sinners in the Hands of an Angry God</w:t>
            </w:r>
            <w:r>
              <w:t xml:space="preserve"> by Jonathan Edwards</w:t>
            </w:r>
          </w:p>
          <w:p w:rsidR="00C64A9B" w:rsidRDefault="00C64A9B" w:rsidP="00C64A9B">
            <w:r>
              <w:rPr>
                <w:i/>
              </w:rPr>
              <w:t xml:space="preserve">The Trial of Martha Carrier </w:t>
            </w:r>
            <w:r>
              <w:t xml:space="preserve"> by Cotton Mather</w:t>
            </w:r>
          </w:p>
          <w:p w:rsidR="00C64A9B" w:rsidRPr="00C64A9B" w:rsidRDefault="00C64A9B" w:rsidP="00C64A9B">
            <w:r>
              <w:rPr>
                <w:i/>
              </w:rPr>
              <w:t xml:space="preserve">The Lessons of Salem </w:t>
            </w:r>
            <w:r>
              <w:t xml:space="preserve">by Laura </w:t>
            </w:r>
            <w:proofErr w:type="spellStart"/>
            <w:r>
              <w:t>Shaprio</w:t>
            </w:r>
            <w:proofErr w:type="spellEnd"/>
          </w:p>
          <w:p w:rsidR="00C64A9B" w:rsidRDefault="00C64A9B" w:rsidP="00C64A9B">
            <w:r w:rsidRPr="00C64A9B">
              <w:rPr>
                <w:i/>
              </w:rPr>
              <w:t>The Crucible</w:t>
            </w:r>
            <w:r>
              <w:t xml:space="preserve"> by Arthur Miller </w:t>
            </w:r>
          </w:p>
          <w:p w:rsidR="00C64A9B" w:rsidRDefault="00C64A9B" w:rsidP="00C64A9B">
            <w:r w:rsidRPr="00C64A9B">
              <w:rPr>
                <w:i/>
              </w:rPr>
              <w:t>Why I Wrote the Crucible</w:t>
            </w:r>
            <w:r>
              <w:t xml:space="preserve"> by Arthur Miller</w:t>
            </w:r>
          </w:p>
          <w:p w:rsidR="00C64A9B" w:rsidRDefault="00C64A9B" w:rsidP="00C64A9B">
            <w:r>
              <w:t xml:space="preserve">“The Mending Wall” by Robert Frost    </w:t>
            </w:r>
          </w:p>
          <w:p w:rsidR="00C64A9B" w:rsidRDefault="00C64A9B" w:rsidP="00C64A9B"/>
        </w:tc>
        <w:tc>
          <w:tcPr>
            <w:tcW w:w="3646" w:type="dxa"/>
          </w:tcPr>
          <w:p w:rsidR="00C64A9B" w:rsidRPr="00C64A9B" w:rsidRDefault="00C64A9B" w:rsidP="00C64A9B">
            <w:pPr>
              <w:rPr>
                <w:b/>
              </w:rPr>
            </w:pPr>
            <w:r w:rsidRPr="00C64A9B">
              <w:rPr>
                <w:b/>
              </w:rPr>
              <w:t>Writing:</w:t>
            </w:r>
          </w:p>
          <w:p w:rsidR="00C64A9B" w:rsidRDefault="00C64A9B" w:rsidP="00C64A9B">
            <w:r>
              <w:t xml:space="preserve"> -Students will be expected to write informal responses to the texts as directed.  These informal writings will include thoughts, connections to own experience, questions about the text, words, images, phrases or details that make an impression, along with identification of the author’s purpose, audience, and tone. </w:t>
            </w:r>
          </w:p>
          <w:p w:rsidR="00C64A9B" w:rsidRDefault="00C64A9B" w:rsidP="00C64A9B">
            <w:r>
              <w:t xml:space="preserve">-250 word response from Anticipation Guide </w:t>
            </w:r>
          </w:p>
          <w:p w:rsidR="00C64A9B" w:rsidRDefault="00C64A9B" w:rsidP="00C64A9B">
            <w:r>
              <w:t xml:space="preserve">-In-class essay on The Crucible </w:t>
            </w:r>
          </w:p>
          <w:p w:rsidR="00C64A9B" w:rsidRDefault="00C64A9B" w:rsidP="00C64A9B">
            <w:r>
              <w:t xml:space="preserve"> -Script writing   </w:t>
            </w:r>
          </w:p>
          <w:p w:rsidR="00C64A9B" w:rsidRDefault="00C64A9B" w:rsidP="00C64A9B"/>
        </w:tc>
        <w:tc>
          <w:tcPr>
            <w:tcW w:w="3646" w:type="dxa"/>
          </w:tcPr>
          <w:p w:rsidR="00C64A9B" w:rsidRPr="00C64A9B" w:rsidRDefault="00C64A9B" w:rsidP="00C64A9B">
            <w:pPr>
              <w:rPr>
                <w:b/>
              </w:rPr>
            </w:pPr>
            <w:r w:rsidRPr="00C64A9B">
              <w:rPr>
                <w:b/>
              </w:rPr>
              <w:t xml:space="preserve">Research: </w:t>
            </w:r>
          </w:p>
          <w:p w:rsidR="00C64A9B" w:rsidRDefault="00C64A9B" w:rsidP="00C64A9B">
            <w:r>
              <w:t xml:space="preserve">McCarthyism </w:t>
            </w:r>
          </w:p>
          <w:p w:rsidR="00C64A9B" w:rsidRDefault="00C64A9B" w:rsidP="00C64A9B">
            <w:r>
              <w:t xml:space="preserve">Hysteria Scientific / Natural causes for Hysteria    </w:t>
            </w:r>
          </w:p>
          <w:p w:rsidR="00C64A9B" w:rsidRDefault="00C64A9B" w:rsidP="00C64A9B"/>
        </w:tc>
      </w:tr>
      <w:tr w:rsidR="00C64A9B" w:rsidTr="00C64A9B">
        <w:trPr>
          <w:trHeight w:val="541"/>
        </w:trPr>
        <w:tc>
          <w:tcPr>
            <w:tcW w:w="10938" w:type="dxa"/>
            <w:gridSpan w:val="3"/>
          </w:tcPr>
          <w:p w:rsidR="00830545" w:rsidRDefault="00C64A9B" w:rsidP="00C64A9B">
            <w:r w:rsidRPr="00C64A9B">
              <w:rPr>
                <w:b/>
              </w:rPr>
              <w:t>Assessments:</w:t>
            </w:r>
            <w:r>
              <w:t xml:space="preserve"> Performance Assessment from SB, Reading Performance As</w:t>
            </w:r>
            <w:r w:rsidR="00830545">
              <w:t>sessment, In-Class Essay on Text</w:t>
            </w:r>
          </w:p>
        </w:tc>
      </w:tr>
      <w:tr w:rsidR="00297FC7" w:rsidTr="00C64A9B">
        <w:trPr>
          <w:trHeight w:val="541"/>
        </w:trPr>
        <w:tc>
          <w:tcPr>
            <w:tcW w:w="10938" w:type="dxa"/>
            <w:gridSpan w:val="3"/>
          </w:tcPr>
          <w:p w:rsidR="00297FC7" w:rsidRDefault="00297FC7" w:rsidP="00C64A9B">
            <w:pPr>
              <w:rPr>
                <w:b/>
              </w:rPr>
            </w:pPr>
            <w:r>
              <w:rPr>
                <w:b/>
              </w:rPr>
              <w:t>Unit Goals:</w:t>
            </w:r>
          </w:p>
          <w:p w:rsidR="00297FC7" w:rsidRDefault="00297FC7" w:rsidP="00C64A9B">
            <w:r>
              <w:t>1. Develop stylistic elements, including controlling tone, establishing and maintaining voice, and achieving appropriate emphasis through diction and sentence structure.</w:t>
            </w:r>
          </w:p>
          <w:p w:rsidR="00297FC7" w:rsidRDefault="00297FC7" w:rsidP="00C64A9B">
            <w:r>
              <w:t>2. Analyze a dramatic work of lasting literary merit in order to arrive at multiple interpretations.</w:t>
            </w:r>
          </w:p>
          <w:p w:rsidR="00297FC7" w:rsidRDefault="00297FC7" w:rsidP="00C64A9B">
            <w:r>
              <w:t>3. Develop increasing maturity and complexity in both reading and writing.</w:t>
            </w:r>
          </w:p>
          <w:p w:rsidR="00297FC7" w:rsidRPr="00297FC7" w:rsidRDefault="00297FC7" w:rsidP="00C64A9B">
            <w:r>
              <w:t>4. Analyze the social, cultural, political, and historical contexts of a literary text and its contributions to society.</w:t>
            </w:r>
          </w:p>
        </w:tc>
      </w:tr>
    </w:tbl>
    <w:p w:rsidR="00C64A9B" w:rsidRDefault="00C64A9B" w:rsidP="00C64A9B"/>
    <w:tbl>
      <w:tblPr>
        <w:tblStyle w:val="TableGrid"/>
        <w:tblW w:w="0" w:type="auto"/>
        <w:tblLook w:val="04A0" w:firstRow="1" w:lastRow="0" w:firstColumn="1" w:lastColumn="0" w:noHBand="0" w:noVBand="1"/>
      </w:tblPr>
      <w:tblGrid>
        <w:gridCol w:w="2158"/>
        <w:gridCol w:w="2158"/>
        <w:gridCol w:w="2158"/>
        <w:gridCol w:w="2158"/>
        <w:gridCol w:w="2158"/>
      </w:tblGrid>
      <w:tr w:rsidR="00297FC7" w:rsidRPr="00297FC7" w:rsidTr="005742AE">
        <w:tc>
          <w:tcPr>
            <w:tcW w:w="2158" w:type="dxa"/>
          </w:tcPr>
          <w:p w:rsidR="00297FC7" w:rsidRPr="00297FC7" w:rsidRDefault="00297FC7" w:rsidP="00297FC7">
            <w:pPr>
              <w:jc w:val="center"/>
              <w:rPr>
                <w:b/>
              </w:rPr>
            </w:pPr>
            <w:r>
              <w:rPr>
                <w:b/>
              </w:rPr>
              <w:t>Monday</w:t>
            </w:r>
          </w:p>
        </w:tc>
        <w:tc>
          <w:tcPr>
            <w:tcW w:w="2158" w:type="dxa"/>
          </w:tcPr>
          <w:p w:rsidR="00297FC7" w:rsidRPr="00297FC7" w:rsidRDefault="00297FC7" w:rsidP="00297FC7">
            <w:pPr>
              <w:jc w:val="center"/>
              <w:rPr>
                <w:b/>
              </w:rPr>
            </w:pPr>
            <w:r>
              <w:rPr>
                <w:b/>
              </w:rPr>
              <w:t>Tuesday</w:t>
            </w:r>
          </w:p>
        </w:tc>
        <w:tc>
          <w:tcPr>
            <w:tcW w:w="2158" w:type="dxa"/>
          </w:tcPr>
          <w:p w:rsidR="00297FC7" w:rsidRPr="00297FC7" w:rsidRDefault="00297FC7" w:rsidP="00297FC7">
            <w:pPr>
              <w:jc w:val="center"/>
              <w:rPr>
                <w:b/>
              </w:rPr>
            </w:pPr>
            <w:r>
              <w:rPr>
                <w:b/>
              </w:rPr>
              <w:t>Wednesday</w:t>
            </w:r>
          </w:p>
        </w:tc>
        <w:tc>
          <w:tcPr>
            <w:tcW w:w="2158" w:type="dxa"/>
          </w:tcPr>
          <w:p w:rsidR="00297FC7" w:rsidRPr="00297FC7" w:rsidRDefault="00297FC7" w:rsidP="00297FC7">
            <w:pPr>
              <w:jc w:val="center"/>
              <w:rPr>
                <w:b/>
              </w:rPr>
            </w:pPr>
            <w:r>
              <w:rPr>
                <w:b/>
              </w:rPr>
              <w:t>Thursday</w:t>
            </w:r>
          </w:p>
        </w:tc>
        <w:tc>
          <w:tcPr>
            <w:tcW w:w="2158" w:type="dxa"/>
          </w:tcPr>
          <w:p w:rsidR="00297FC7" w:rsidRPr="00297FC7" w:rsidRDefault="00297FC7" w:rsidP="00297FC7">
            <w:pPr>
              <w:jc w:val="center"/>
              <w:rPr>
                <w:b/>
              </w:rPr>
            </w:pPr>
            <w:r>
              <w:rPr>
                <w:b/>
              </w:rPr>
              <w:t>Friday</w:t>
            </w:r>
          </w:p>
        </w:tc>
      </w:tr>
      <w:tr w:rsidR="00297FC7" w:rsidTr="005742AE">
        <w:tc>
          <w:tcPr>
            <w:tcW w:w="2158" w:type="dxa"/>
          </w:tcPr>
          <w:p w:rsidR="00297FC7" w:rsidRDefault="00297FC7" w:rsidP="00C64A9B">
            <w:r>
              <w:t>11/28</w:t>
            </w:r>
          </w:p>
          <w:p w:rsidR="00297FC7" w:rsidRDefault="00297FC7" w:rsidP="00C64A9B">
            <w:r>
              <w:t>Essential Questions</w:t>
            </w:r>
          </w:p>
          <w:p w:rsidR="00297FC7" w:rsidRDefault="00297FC7" w:rsidP="00C64A9B">
            <w:r>
              <w:t>Half-Hanged Mary</w:t>
            </w:r>
          </w:p>
          <w:p w:rsidR="00297FC7" w:rsidRDefault="00297FC7" w:rsidP="00C64A9B">
            <w:r>
              <w:t>Anticipation Guide</w:t>
            </w:r>
          </w:p>
          <w:p w:rsidR="00297FC7" w:rsidRDefault="00297FC7" w:rsidP="00C64A9B">
            <w:r>
              <w:t>250 Deep Thought Response</w:t>
            </w:r>
          </w:p>
          <w:p w:rsidR="00297FC7" w:rsidRDefault="00297FC7" w:rsidP="00C64A9B">
            <w:r>
              <w:t>HW: Young Goodman Brown</w:t>
            </w:r>
          </w:p>
        </w:tc>
        <w:tc>
          <w:tcPr>
            <w:tcW w:w="2158" w:type="dxa"/>
          </w:tcPr>
          <w:p w:rsidR="00297FC7" w:rsidRDefault="00297FC7" w:rsidP="00C64A9B">
            <w:r>
              <w:t>11/29</w:t>
            </w:r>
          </w:p>
          <w:p w:rsidR="00297FC7" w:rsidRDefault="00297FC7" w:rsidP="00C64A9B">
            <w:r>
              <w:t>Unpacking Embedded assessment</w:t>
            </w:r>
          </w:p>
          <w:p w:rsidR="00297FC7" w:rsidRDefault="00297FC7" w:rsidP="00C64A9B">
            <w:r>
              <w:t>Re-read Young Goodman Brown</w:t>
            </w:r>
          </w:p>
          <w:p w:rsidR="00297FC7" w:rsidRDefault="00297FC7" w:rsidP="00C64A9B">
            <w:r>
              <w:t>Extended response/MC ?s</w:t>
            </w:r>
          </w:p>
          <w:p w:rsidR="00297FC7" w:rsidRDefault="00297FC7" w:rsidP="00C64A9B">
            <w:r>
              <w:t>HW: Mending Wall</w:t>
            </w:r>
          </w:p>
        </w:tc>
        <w:tc>
          <w:tcPr>
            <w:tcW w:w="2158" w:type="dxa"/>
          </w:tcPr>
          <w:p w:rsidR="00297FC7" w:rsidRDefault="00297FC7" w:rsidP="00C64A9B">
            <w:r>
              <w:t>11/30</w:t>
            </w:r>
          </w:p>
          <w:p w:rsidR="00297FC7" w:rsidRDefault="00297FC7" w:rsidP="00297FC7">
            <w:pPr>
              <w:rPr>
                <w:i/>
              </w:rPr>
            </w:pPr>
            <w:r>
              <w:t xml:space="preserve">SB 2.2 – Jigsaw background texts on </w:t>
            </w:r>
            <w:r>
              <w:rPr>
                <w:i/>
              </w:rPr>
              <w:t>The Crucible</w:t>
            </w:r>
          </w:p>
          <w:p w:rsidR="00297FC7" w:rsidRDefault="00297FC7" w:rsidP="00C64A9B"/>
          <w:p w:rsidR="00297FC7" w:rsidRDefault="00297FC7" w:rsidP="00C64A9B">
            <w:r>
              <w:t>HW: Two definitions of the Crucible</w:t>
            </w:r>
          </w:p>
        </w:tc>
        <w:tc>
          <w:tcPr>
            <w:tcW w:w="2158" w:type="dxa"/>
          </w:tcPr>
          <w:p w:rsidR="00297FC7" w:rsidRDefault="00297FC7" w:rsidP="00C64A9B">
            <w:r>
              <w:t>12/1</w:t>
            </w:r>
          </w:p>
          <w:p w:rsidR="00297FC7" w:rsidRDefault="00297FC7" w:rsidP="00C64A9B">
            <w:r>
              <w:t>SB 2.3 – meet the characters</w:t>
            </w:r>
          </w:p>
        </w:tc>
        <w:tc>
          <w:tcPr>
            <w:tcW w:w="2158" w:type="dxa"/>
          </w:tcPr>
          <w:p w:rsidR="00297FC7" w:rsidRDefault="00297FC7" w:rsidP="00C64A9B">
            <w:r>
              <w:t>12/2</w:t>
            </w:r>
          </w:p>
          <w:p w:rsidR="00297FC7" w:rsidRDefault="00297FC7" w:rsidP="00297FC7">
            <w:r>
              <w:t>Introduce Foil</w:t>
            </w:r>
          </w:p>
          <w:p w:rsidR="00297FC7" w:rsidRDefault="00297FC7" w:rsidP="00297FC7">
            <w:r>
              <w:t>Character poster</w:t>
            </w:r>
          </w:p>
          <w:p w:rsidR="00297FC7" w:rsidRDefault="00297FC7" w:rsidP="00297FC7">
            <w:r>
              <w:t xml:space="preserve">Things to watch for </w:t>
            </w:r>
          </w:p>
          <w:p w:rsidR="00297FC7" w:rsidRDefault="00297FC7" w:rsidP="00297FC7">
            <w:r>
              <w:t>Writing Prompt</w:t>
            </w:r>
          </w:p>
          <w:p w:rsidR="00297FC7" w:rsidRDefault="00297FC7" w:rsidP="00297FC7">
            <w:r>
              <w:t>Read Act I</w:t>
            </w:r>
            <w:r>
              <w:t xml:space="preserve"> (SB.2.4)</w:t>
            </w:r>
          </w:p>
          <w:p w:rsidR="00297FC7" w:rsidRDefault="00297FC7" w:rsidP="00297FC7"/>
          <w:p w:rsidR="00297FC7" w:rsidRDefault="00297FC7" w:rsidP="00297FC7">
            <w:r>
              <w:t>HW: SB 2.7</w:t>
            </w:r>
          </w:p>
        </w:tc>
      </w:tr>
      <w:tr w:rsidR="00297FC7" w:rsidTr="005742AE">
        <w:tc>
          <w:tcPr>
            <w:tcW w:w="2158" w:type="dxa"/>
          </w:tcPr>
          <w:p w:rsidR="00297FC7" w:rsidRDefault="00297FC7" w:rsidP="00C64A9B">
            <w:r>
              <w:t>12/5</w:t>
            </w:r>
          </w:p>
          <w:p w:rsidR="00C207F8" w:rsidRDefault="00C207F8" w:rsidP="00C207F8">
            <w:r>
              <w:t xml:space="preserve">Finish reading Act I – </w:t>
            </w:r>
          </w:p>
          <w:p w:rsidR="00C207F8" w:rsidRDefault="00C207F8" w:rsidP="00C207F8">
            <w:r>
              <w:t>SB 2.5</w:t>
            </w:r>
          </w:p>
          <w:p w:rsidR="00C207F8" w:rsidRDefault="00C207F8" w:rsidP="00C207F8">
            <w:r>
              <w:t>HW: SB 2.6</w:t>
            </w:r>
          </w:p>
        </w:tc>
        <w:tc>
          <w:tcPr>
            <w:tcW w:w="2158" w:type="dxa"/>
          </w:tcPr>
          <w:p w:rsidR="00297FC7" w:rsidRDefault="00297FC7" w:rsidP="00C64A9B">
            <w:r>
              <w:t>12/6</w:t>
            </w:r>
          </w:p>
          <w:p w:rsidR="00C207F8" w:rsidRDefault="00C207F8" w:rsidP="00C64A9B">
            <w:r>
              <w:t>Review conflicts in Act I (SB 2.8)</w:t>
            </w:r>
          </w:p>
          <w:p w:rsidR="00C207F8" w:rsidRDefault="00C207F8" w:rsidP="00C207F8">
            <w:r>
              <w:t>SB 2.9 – Speaking like a Puritan</w:t>
            </w:r>
          </w:p>
          <w:p w:rsidR="00C207F8" w:rsidRDefault="00C207F8" w:rsidP="00C207F8">
            <w:r>
              <w:t>HW: Read a portion of ACT II</w:t>
            </w:r>
          </w:p>
        </w:tc>
        <w:tc>
          <w:tcPr>
            <w:tcW w:w="2158" w:type="dxa"/>
          </w:tcPr>
          <w:p w:rsidR="00297FC7" w:rsidRDefault="00297FC7" w:rsidP="00C64A9B">
            <w:r>
              <w:t>12/7</w:t>
            </w:r>
          </w:p>
          <w:p w:rsidR="00C207F8" w:rsidRDefault="00C207F8" w:rsidP="00C64A9B">
            <w:r>
              <w:t>SB 2.10 – Read Act II</w:t>
            </w:r>
          </w:p>
          <w:p w:rsidR="00C207F8" w:rsidRDefault="00C207F8" w:rsidP="00C64A9B">
            <w:r>
              <w:t>HW: Giles Corey Reading</w:t>
            </w:r>
          </w:p>
        </w:tc>
        <w:tc>
          <w:tcPr>
            <w:tcW w:w="2158" w:type="dxa"/>
          </w:tcPr>
          <w:p w:rsidR="00297FC7" w:rsidRDefault="00297FC7" w:rsidP="00C64A9B">
            <w:r>
              <w:t>12/8</w:t>
            </w:r>
          </w:p>
          <w:p w:rsidR="00C207F8" w:rsidRDefault="00C207F8" w:rsidP="00C207F8">
            <w:r>
              <w:t>SB 2.12</w:t>
            </w:r>
          </w:p>
          <w:p w:rsidR="00C207F8" w:rsidRDefault="00C207F8" w:rsidP="00C207F8">
            <w:r>
              <w:t>Read Act III</w:t>
            </w:r>
          </w:p>
          <w:p w:rsidR="00C207F8" w:rsidRDefault="00C207F8" w:rsidP="00C207F8">
            <w:r>
              <w:t xml:space="preserve">HW: </w:t>
            </w:r>
            <w:proofErr w:type="spellStart"/>
            <w:r>
              <w:t>Tituba</w:t>
            </w:r>
            <w:proofErr w:type="spellEnd"/>
            <w:r>
              <w:t xml:space="preserve"> Trial Transcript</w:t>
            </w:r>
          </w:p>
        </w:tc>
        <w:tc>
          <w:tcPr>
            <w:tcW w:w="2158" w:type="dxa"/>
          </w:tcPr>
          <w:p w:rsidR="00297FC7" w:rsidRDefault="00297FC7" w:rsidP="00C64A9B">
            <w:r>
              <w:t>12/9</w:t>
            </w:r>
          </w:p>
          <w:p w:rsidR="00C207F8" w:rsidRDefault="00C207F8" w:rsidP="00C64A9B">
            <w:r>
              <w:t>SB 2.12</w:t>
            </w:r>
          </w:p>
          <w:p w:rsidR="00C207F8" w:rsidRDefault="00C207F8" w:rsidP="00C64A9B">
            <w:r>
              <w:t>Reading Act III in class</w:t>
            </w:r>
          </w:p>
        </w:tc>
      </w:tr>
      <w:tr w:rsidR="00297FC7" w:rsidTr="005742AE">
        <w:tc>
          <w:tcPr>
            <w:tcW w:w="2158" w:type="dxa"/>
          </w:tcPr>
          <w:p w:rsidR="00297FC7" w:rsidRDefault="00297FC7" w:rsidP="00C64A9B">
            <w:r>
              <w:t>12/12</w:t>
            </w:r>
          </w:p>
          <w:p w:rsidR="00C207F8" w:rsidRDefault="00C207F8" w:rsidP="00C64A9B">
            <w:r>
              <w:t>SB 2.13 – Act III</w:t>
            </w:r>
          </w:p>
          <w:p w:rsidR="00C207F8" w:rsidRDefault="00C207F8" w:rsidP="00C64A9B">
            <w:r>
              <w:t>HW: Analyze cartoons about McCarthy Trials</w:t>
            </w:r>
          </w:p>
        </w:tc>
        <w:tc>
          <w:tcPr>
            <w:tcW w:w="2158" w:type="dxa"/>
          </w:tcPr>
          <w:p w:rsidR="00297FC7" w:rsidRDefault="00297FC7" w:rsidP="00C64A9B">
            <w:r>
              <w:t>12/13</w:t>
            </w:r>
          </w:p>
          <w:p w:rsidR="00C207F8" w:rsidRDefault="00C207F8" w:rsidP="00C64A9B">
            <w:r>
              <w:t xml:space="preserve">SB 2.14 - </w:t>
            </w:r>
            <w:r>
              <w:t>Read and annotate “Why I wrote The Crucible” by Arthur Miller</w:t>
            </w:r>
          </w:p>
          <w:p w:rsidR="00C207F8" w:rsidRDefault="00C207F8" w:rsidP="00C64A9B">
            <w:r>
              <w:t>HW: finish reading article</w:t>
            </w:r>
          </w:p>
        </w:tc>
        <w:tc>
          <w:tcPr>
            <w:tcW w:w="2158" w:type="dxa"/>
          </w:tcPr>
          <w:p w:rsidR="00297FC7" w:rsidRDefault="00297FC7" w:rsidP="00C64A9B">
            <w:r>
              <w:t>12/14</w:t>
            </w:r>
          </w:p>
          <w:p w:rsidR="00C207F8" w:rsidRDefault="00C207F8" w:rsidP="00C207F8">
            <w:r>
              <w:t>Read Act IV</w:t>
            </w:r>
          </w:p>
          <w:p w:rsidR="00C207F8" w:rsidRDefault="00C207F8" w:rsidP="00C207F8">
            <w:r>
              <w:t>SB 2.15 – before and during reading</w:t>
            </w:r>
          </w:p>
          <w:p w:rsidR="00C207F8" w:rsidRDefault="00C207F8" w:rsidP="00C207F8">
            <w:r>
              <w:t>Analyze different prompts (2.17)</w:t>
            </w:r>
          </w:p>
          <w:p w:rsidR="00C207F8" w:rsidRDefault="00C207F8" w:rsidP="00C207F8">
            <w:r>
              <w:t>HW: Read alternate ending of the play</w:t>
            </w:r>
          </w:p>
        </w:tc>
        <w:tc>
          <w:tcPr>
            <w:tcW w:w="2158" w:type="dxa"/>
          </w:tcPr>
          <w:p w:rsidR="00297FC7" w:rsidRDefault="00297FC7" w:rsidP="00C64A9B">
            <w:r>
              <w:t>12/15</w:t>
            </w:r>
          </w:p>
          <w:p w:rsidR="00C207F8" w:rsidRDefault="00C207F8" w:rsidP="00C207F8">
            <w:r>
              <w:t>Timed Writing (2.17)</w:t>
            </w:r>
          </w:p>
          <w:p w:rsidR="00C207F8" w:rsidRDefault="00C207F8" w:rsidP="00C207F8">
            <w:r>
              <w:t>Introduce embedded Assessment 2.18</w:t>
            </w:r>
          </w:p>
          <w:p w:rsidR="00C207F8" w:rsidRDefault="00C207F8" w:rsidP="00C64A9B"/>
        </w:tc>
        <w:tc>
          <w:tcPr>
            <w:tcW w:w="2158" w:type="dxa"/>
          </w:tcPr>
          <w:p w:rsidR="00297FC7" w:rsidRDefault="00297FC7" w:rsidP="00C64A9B">
            <w:r>
              <w:t>12/16</w:t>
            </w:r>
          </w:p>
          <w:p w:rsidR="00C207F8" w:rsidRDefault="00C207F8" w:rsidP="00C64A9B">
            <w:r>
              <w:t>SB 2.18 – Contemporary Conflicts to assist in planning</w:t>
            </w:r>
          </w:p>
          <w:p w:rsidR="00C207F8" w:rsidRDefault="00C207F8" w:rsidP="00C64A9B">
            <w:r>
              <w:t>Small groups to plan dramatic scene</w:t>
            </w:r>
          </w:p>
        </w:tc>
      </w:tr>
      <w:tr w:rsidR="00C207F8" w:rsidTr="005742AE">
        <w:tc>
          <w:tcPr>
            <w:tcW w:w="2158" w:type="dxa"/>
          </w:tcPr>
          <w:p w:rsidR="00C207F8" w:rsidRPr="00297FC7" w:rsidRDefault="00C207F8" w:rsidP="00876E81">
            <w:pPr>
              <w:jc w:val="center"/>
              <w:rPr>
                <w:b/>
              </w:rPr>
            </w:pPr>
            <w:r>
              <w:rPr>
                <w:b/>
              </w:rPr>
              <w:lastRenderedPageBreak/>
              <w:t>Monday</w:t>
            </w:r>
          </w:p>
        </w:tc>
        <w:tc>
          <w:tcPr>
            <w:tcW w:w="2158" w:type="dxa"/>
          </w:tcPr>
          <w:p w:rsidR="00C207F8" w:rsidRPr="00297FC7" w:rsidRDefault="00C207F8" w:rsidP="00876E81">
            <w:pPr>
              <w:jc w:val="center"/>
              <w:rPr>
                <w:b/>
              </w:rPr>
            </w:pPr>
            <w:r>
              <w:rPr>
                <w:b/>
              </w:rPr>
              <w:t>Tuesday</w:t>
            </w:r>
          </w:p>
        </w:tc>
        <w:tc>
          <w:tcPr>
            <w:tcW w:w="2158" w:type="dxa"/>
          </w:tcPr>
          <w:p w:rsidR="00C207F8" w:rsidRPr="00297FC7" w:rsidRDefault="00C207F8" w:rsidP="00876E81">
            <w:pPr>
              <w:jc w:val="center"/>
              <w:rPr>
                <w:b/>
              </w:rPr>
            </w:pPr>
            <w:r>
              <w:rPr>
                <w:b/>
              </w:rPr>
              <w:t>Wednesday</w:t>
            </w:r>
          </w:p>
        </w:tc>
        <w:tc>
          <w:tcPr>
            <w:tcW w:w="2158" w:type="dxa"/>
          </w:tcPr>
          <w:p w:rsidR="00C207F8" w:rsidRPr="00297FC7" w:rsidRDefault="00C207F8" w:rsidP="00876E81">
            <w:pPr>
              <w:jc w:val="center"/>
              <w:rPr>
                <w:b/>
              </w:rPr>
            </w:pPr>
            <w:r>
              <w:rPr>
                <w:b/>
              </w:rPr>
              <w:t>Thursday</w:t>
            </w:r>
          </w:p>
        </w:tc>
        <w:tc>
          <w:tcPr>
            <w:tcW w:w="2158" w:type="dxa"/>
          </w:tcPr>
          <w:p w:rsidR="00C207F8" w:rsidRPr="00297FC7" w:rsidRDefault="00C207F8" w:rsidP="00876E81">
            <w:pPr>
              <w:jc w:val="center"/>
              <w:rPr>
                <w:b/>
              </w:rPr>
            </w:pPr>
            <w:r>
              <w:rPr>
                <w:b/>
              </w:rPr>
              <w:t>Friday</w:t>
            </w:r>
          </w:p>
        </w:tc>
      </w:tr>
      <w:tr w:rsidR="00C207F8" w:rsidTr="005742AE">
        <w:tc>
          <w:tcPr>
            <w:tcW w:w="2158" w:type="dxa"/>
          </w:tcPr>
          <w:p w:rsidR="00C207F8" w:rsidRDefault="00C207F8" w:rsidP="00C64A9B">
            <w:r>
              <w:t>12/19</w:t>
            </w:r>
          </w:p>
          <w:p w:rsidR="00C207F8" w:rsidRDefault="00C207F8" w:rsidP="00C64A9B">
            <w:r>
              <w:t>Highlight and perform memorable scenes from the play</w:t>
            </w:r>
          </w:p>
          <w:p w:rsidR="00C207F8" w:rsidRDefault="00C207F8" w:rsidP="00C64A9B">
            <w:r>
              <w:t>Small groups to plan dramatic scene</w:t>
            </w:r>
          </w:p>
          <w:p w:rsidR="00C207F8" w:rsidRDefault="00C207F8" w:rsidP="00C64A9B"/>
        </w:tc>
        <w:tc>
          <w:tcPr>
            <w:tcW w:w="2158" w:type="dxa"/>
          </w:tcPr>
          <w:p w:rsidR="00C207F8" w:rsidRDefault="00C207F8" w:rsidP="00C64A9B">
            <w:r>
              <w:t>12/20</w:t>
            </w:r>
          </w:p>
          <w:p w:rsidR="00C207F8" w:rsidRDefault="00C207F8" w:rsidP="00C207F8">
            <w:r>
              <w:t>Highlight and perform memorable scenes from the play</w:t>
            </w:r>
          </w:p>
          <w:p w:rsidR="00C207F8" w:rsidRDefault="00C207F8" w:rsidP="00C207F8">
            <w:r>
              <w:t>Small groups to plan dramatic scene</w:t>
            </w:r>
          </w:p>
          <w:p w:rsidR="00C207F8" w:rsidRDefault="00C207F8" w:rsidP="00C64A9B">
            <w:bookmarkStart w:id="0" w:name="_GoBack"/>
            <w:bookmarkEnd w:id="0"/>
          </w:p>
        </w:tc>
        <w:tc>
          <w:tcPr>
            <w:tcW w:w="2158" w:type="dxa"/>
          </w:tcPr>
          <w:p w:rsidR="00C207F8" w:rsidRDefault="00C207F8" w:rsidP="00C64A9B">
            <w:r>
              <w:t>12/21</w:t>
            </w:r>
          </w:p>
          <w:p w:rsidR="00C207F8" w:rsidRDefault="00C207F8" w:rsidP="00C64A9B">
            <w:r>
              <w:t>Finals Week – Perform dramatic scripts</w:t>
            </w:r>
          </w:p>
        </w:tc>
        <w:tc>
          <w:tcPr>
            <w:tcW w:w="2158" w:type="dxa"/>
          </w:tcPr>
          <w:p w:rsidR="00C207F8" w:rsidRDefault="00C207F8" w:rsidP="00C64A9B">
            <w:r>
              <w:t>12/22</w:t>
            </w:r>
          </w:p>
          <w:p w:rsidR="00C207F8" w:rsidRDefault="00C207F8" w:rsidP="00C64A9B">
            <w:r>
              <w:t>Finals Week – Perform dramatic scripts</w:t>
            </w:r>
          </w:p>
        </w:tc>
        <w:tc>
          <w:tcPr>
            <w:tcW w:w="2158" w:type="dxa"/>
          </w:tcPr>
          <w:p w:rsidR="00C207F8" w:rsidRDefault="00C207F8" w:rsidP="00C64A9B">
            <w:r>
              <w:t>12/23</w:t>
            </w:r>
          </w:p>
          <w:p w:rsidR="00C207F8" w:rsidRDefault="00C207F8" w:rsidP="00C64A9B">
            <w:r>
              <w:t>Finals Week – Perform dramatic scripts</w:t>
            </w:r>
          </w:p>
        </w:tc>
      </w:tr>
    </w:tbl>
    <w:p w:rsidR="00C64A9B" w:rsidRDefault="00C64A9B" w:rsidP="00C64A9B"/>
    <w:sectPr w:rsidR="00C64A9B" w:rsidSect="00C64A9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9B" w:rsidRDefault="00C64A9B" w:rsidP="00C64A9B">
      <w:pPr>
        <w:spacing w:after="0" w:line="240" w:lineRule="auto"/>
      </w:pPr>
      <w:r>
        <w:separator/>
      </w:r>
    </w:p>
  </w:endnote>
  <w:endnote w:type="continuationSeparator" w:id="0">
    <w:p w:rsidR="00C64A9B" w:rsidRDefault="00C64A9B" w:rsidP="00C6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9B" w:rsidRDefault="00C64A9B" w:rsidP="00C64A9B">
      <w:pPr>
        <w:spacing w:after="0" w:line="240" w:lineRule="auto"/>
      </w:pPr>
      <w:r>
        <w:separator/>
      </w:r>
    </w:p>
  </w:footnote>
  <w:footnote w:type="continuationSeparator" w:id="0">
    <w:p w:rsidR="00C64A9B" w:rsidRDefault="00C64A9B" w:rsidP="00C6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9B" w:rsidRDefault="00297FC7">
    <w:pPr>
      <w:pStyle w:val="Header"/>
    </w:pPr>
    <w:r>
      <w:t>Unit 4</w:t>
    </w:r>
    <w:r w:rsidR="00C64A9B">
      <w:t>: America Speaks…The Crucible</w:t>
    </w:r>
    <w:r w:rsidR="00C64A9B">
      <w:ptab w:relativeTo="margin" w:alignment="right" w:leader="none"/>
    </w:r>
    <w:r>
      <w:t xml:space="preserve"> November 28 – December 23,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9B"/>
    <w:rsid w:val="00136BA2"/>
    <w:rsid w:val="00297FC7"/>
    <w:rsid w:val="003E73FD"/>
    <w:rsid w:val="004444C8"/>
    <w:rsid w:val="00830545"/>
    <w:rsid w:val="008463D9"/>
    <w:rsid w:val="008F6B42"/>
    <w:rsid w:val="00C207F8"/>
    <w:rsid w:val="00C518FF"/>
    <w:rsid w:val="00C64A9B"/>
    <w:rsid w:val="00F3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B"/>
  </w:style>
  <w:style w:type="paragraph" w:styleId="Footer">
    <w:name w:val="footer"/>
    <w:basedOn w:val="Normal"/>
    <w:link w:val="FooterChar"/>
    <w:uiPriority w:val="99"/>
    <w:unhideWhenUsed/>
    <w:rsid w:val="00C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B"/>
  </w:style>
  <w:style w:type="paragraph" w:styleId="Footer">
    <w:name w:val="footer"/>
    <w:basedOn w:val="Normal"/>
    <w:link w:val="FooterChar"/>
    <w:uiPriority w:val="99"/>
    <w:unhideWhenUsed/>
    <w:rsid w:val="00C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CMSD</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Sims</dc:creator>
  <cp:lastModifiedBy>Fieldtech</cp:lastModifiedBy>
  <cp:revision>2</cp:revision>
  <dcterms:created xsi:type="dcterms:W3CDTF">2016-11-22T16:31:00Z</dcterms:created>
  <dcterms:modified xsi:type="dcterms:W3CDTF">2016-11-22T16:31:00Z</dcterms:modified>
</cp:coreProperties>
</file>